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6463AB">
      <w:pPr>
        <w:rPr>
          <w:rFonts w:ascii="Arial" w:hAnsi="Arial" w:cs="Arial"/>
          <w:color w:val="000000"/>
          <w:sz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hd w:val="clear" w:color="auto" w:fill="FFFFFF"/>
        </w:rPr>
        <w:t>10.10.2024 г</w:t>
      </w:r>
      <w:bookmarkStart w:id="0" w:name="_GoBack"/>
      <w:r>
        <w:rPr>
          <w:rFonts w:ascii="Arial" w:hAnsi="Arial" w:cs="Arial"/>
          <w:color w:val="000000"/>
          <w:sz w:val="20"/>
          <w:shd w:val="clear" w:color="auto" w:fill="FFFFFF"/>
        </w:rPr>
        <w:t xml:space="preserve">. Горнозаводская центральная библиотека принимала гостей из Чусовской местной организации Всероссийского общества слепых (МО ВОС). </w:t>
      </w:r>
      <w:bookmarkEnd w:id="0"/>
      <w:r>
        <w:rPr>
          <w:rFonts w:ascii="Arial" w:hAnsi="Arial" w:cs="Arial"/>
          <w:color w:val="000000"/>
          <w:sz w:val="20"/>
          <w:shd w:val="clear" w:color="auto" w:fill="FFFFFF"/>
        </w:rPr>
        <w:t xml:space="preserve">Инструктор по настольным играм </w:t>
      </w:r>
      <w:proofErr w:type="spellStart"/>
      <w:r>
        <w:rPr>
          <w:rFonts w:ascii="Arial" w:hAnsi="Arial" w:cs="Arial"/>
          <w:color w:val="000000"/>
          <w:sz w:val="20"/>
          <w:shd w:val="clear" w:color="auto" w:fill="FFFFFF"/>
        </w:rPr>
        <w:t>Патласова</w:t>
      </w:r>
      <w:proofErr w:type="spellEnd"/>
      <w:r>
        <w:rPr>
          <w:rFonts w:ascii="Arial" w:hAnsi="Arial" w:cs="Arial"/>
          <w:color w:val="000000"/>
          <w:sz w:val="20"/>
          <w:shd w:val="clear" w:color="auto" w:fill="FFFFFF"/>
        </w:rPr>
        <w:t xml:space="preserve"> Галина Владимировна, провела презентацию настольных игр, в которые могут играть как зрячие, так и слабовидящие люди. Каждая игра содержит подробное описание и правила, изложенные Галиной Владимировной в доступной форме.</w:t>
      </w:r>
      <w:r>
        <w:rPr>
          <w:rFonts w:ascii="Arial" w:hAnsi="Arial" w:cs="Arial"/>
          <w:color w:val="000000"/>
          <w:sz w:val="20"/>
        </w:rPr>
        <w:br/>
      </w:r>
      <w:r>
        <w:rPr>
          <w:rFonts w:ascii="Arial" w:hAnsi="Arial" w:cs="Arial"/>
          <w:color w:val="000000"/>
          <w:sz w:val="20"/>
          <w:shd w:val="clear" w:color="auto" w:fill="FFFFFF"/>
        </w:rPr>
        <w:t>Все игры разнообразные, развивают внимание, логику, дух соперничества. Уровень игр от «очень просто» до «очень сложно».</w:t>
      </w:r>
      <w:r>
        <w:rPr>
          <w:rFonts w:ascii="Arial" w:hAnsi="Arial" w:cs="Arial"/>
          <w:color w:val="000000"/>
          <w:sz w:val="20"/>
        </w:rPr>
        <w:br/>
      </w:r>
      <w:r>
        <w:rPr>
          <w:rFonts w:ascii="Arial" w:hAnsi="Arial" w:cs="Arial"/>
          <w:color w:val="000000"/>
          <w:sz w:val="20"/>
          <w:shd w:val="clear" w:color="auto" w:fill="FFFFFF"/>
        </w:rPr>
        <w:t>Некоторые из этих игр, а именно: «</w:t>
      </w:r>
      <w:proofErr w:type="spellStart"/>
      <w:r>
        <w:rPr>
          <w:rFonts w:ascii="Arial" w:hAnsi="Arial" w:cs="Arial"/>
          <w:color w:val="000000"/>
          <w:sz w:val="20"/>
          <w:shd w:val="clear" w:color="auto" w:fill="FFFFFF"/>
        </w:rPr>
        <w:t>Квиксо</w:t>
      </w:r>
      <w:proofErr w:type="spellEnd"/>
      <w:r>
        <w:rPr>
          <w:rFonts w:ascii="Arial" w:hAnsi="Arial" w:cs="Arial"/>
          <w:color w:val="000000"/>
          <w:sz w:val="20"/>
          <w:shd w:val="clear" w:color="auto" w:fill="FFFFFF"/>
        </w:rPr>
        <w:t>», «</w:t>
      </w:r>
      <w:proofErr w:type="spellStart"/>
      <w:r>
        <w:rPr>
          <w:rFonts w:ascii="Arial" w:hAnsi="Arial" w:cs="Arial"/>
          <w:color w:val="000000"/>
          <w:sz w:val="20"/>
          <w:shd w:val="clear" w:color="auto" w:fill="FFFFFF"/>
        </w:rPr>
        <w:t>Калах</w:t>
      </w:r>
      <w:proofErr w:type="spellEnd"/>
      <w:r>
        <w:rPr>
          <w:rFonts w:ascii="Arial" w:hAnsi="Arial" w:cs="Arial"/>
          <w:color w:val="000000"/>
          <w:sz w:val="20"/>
          <w:shd w:val="clear" w:color="auto" w:fill="FFFFFF"/>
        </w:rPr>
        <w:t>», «</w:t>
      </w:r>
      <w:proofErr w:type="spellStart"/>
      <w:r>
        <w:rPr>
          <w:rFonts w:ascii="Arial" w:hAnsi="Arial" w:cs="Arial"/>
          <w:color w:val="000000"/>
          <w:sz w:val="20"/>
          <w:shd w:val="clear" w:color="auto" w:fill="FFFFFF"/>
        </w:rPr>
        <w:t>Катамино</w:t>
      </w:r>
      <w:proofErr w:type="spellEnd"/>
      <w:r>
        <w:rPr>
          <w:rFonts w:ascii="Arial" w:hAnsi="Arial" w:cs="Arial"/>
          <w:color w:val="000000"/>
          <w:sz w:val="20"/>
          <w:shd w:val="clear" w:color="auto" w:fill="FFFFFF"/>
        </w:rPr>
        <w:t>», «Крестики - нолики», председатель МО ВОС Соболев Валерий Борисович передал во временное пользование Горнозаводской центральной библиотеке.</w:t>
      </w:r>
      <w:r>
        <w:rPr>
          <w:rFonts w:ascii="Arial" w:hAnsi="Arial" w:cs="Arial"/>
          <w:color w:val="000000"/>
          <w:sz w:val="20"/>
        </w:rPr>
        <w:br/>
      </w:r>
      <w:r>
        <w:rPr>
          <w:rFonts w:ascii="Arial" w:hAnsi="Arial" w:cs="Arial"/>
          <w:color w:val="000000"/>
          <w:sz w:val="20"/>
          <w:shd w:val="clear" w:color="auto" w:fill="FFFFFF"/>
        </w:rPr>
        <w:t>Приглашаем всех любителей настольных игр, желающих попробовать свои силы, в читальный зал библиотеки.</w:t>
      </w:r>
    </w:p>
    <w:p w:rsidR="006463AB" w:rsidRDefault="006463AB">
      <w:pPr>
        <w:rPr>
          <w:rFonts w:ascii="Arial" w:hAnsi="Arial" w:cs="Arial"/>
          <w:color w:val="000000"/>
          <w:sz w:val="20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204829</wp:posOffset>
            </wp:positionV>
            <wp:extent cx="5940425" cy="7920404"/>
            <wp:effectExtent l="0" t="0" r="3175" b="4445"/>
            <wp:wrapNone/>
            <wp:docPr id="2" name="Рисунок 2" descr="https://sun9-9.userapi.com/impg/Gx0Dc8oqJm6WNVxaS5VNzK7KUpAg-ZR0ztmL-w/Sph5YnXO51g.jpg?size=1620x2160&amp;quality=95&amp;sign=3e6c65a95bbadc9221903a5c9809706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9.userapi.com/impg/Gx0Dc8oqJm6WNVxaS5VNzK7KUpAg-ZR0ztmL-w/Sph5YnXO51g.jpg?size=1620x2160&amp;quality=95&amp;sign=3e6c65a95bbadc9221903a5c98097060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63AB" w:rsidRDefault="006463AB"/>
    <w:sectPr w:rsidR="00646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3AB"/>
    <w:rsid w:val="00165595"/>
    <w:rsid w:val="00646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A21C2"/>
  <w15:chartTrackingRefBased/>
  <w15:docId w15:val="{DFAF408C-C57D-4B2C-8ADA-4BA575CAA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2024-10-10T11:42:00Z</dcterms:created>
  <dcterms:modified xsi:type="dcterms:W3CDTF">2024-10-10T11:44:00Z</dcterms:modified>
</cp:coreProperties>
</file>