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F08" w:rsidRPr="00C63F08" w:rsidRDefault="00C63F08" w:rsidP="00C63F08">
      <w:pPr>
        <w:jc w:val="center"/>
        <w:rPr>
          <w:rFonts w:ascii="Arial" w:hAnsi="Arial" w:cs="Arial"/>
          <w:sz w:val="28"/>
        </w:rPr>
      </w:pPr>
      <w:r w:rsidRPr="00C63F08">
        <w:rPr>
          <w:rFonts w:ascii="Arial" w:hAnsi="Arial" w:cs="Arial"/>
          <w:sz w:val="28"/>
        </w:rPr>
        <w:t>МБУК «Горнозаводская центральная межпоселенческая библиотека»</w:t>
      </w:r>
    </w:p>
    <w:p w:rsidR="00EA7874" w:rsidRPr="00C63F08" w:rsidRDefault="00EA7874">
      <w:pPr>
        <w:rPr>
          <w:sz w:val="28"/>
        </w:rPr>
      </w:pPr>
    </w:p>
    <w:p w:rsidR="00C63F08" w:rsidRDefault="00C63F08">
      <w:r>
        <w:rPr>
          <w:noProof/>
        </w:rPr>
        <w:drawing>
          <wp:inline distT="0" distB="0" distL="0" distR="0" wp14:anchorId="13CD9276" wp14:editId="507861DA">
            <wp:extent cx="847725" cy="1290017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286" cy="130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3F08" w:rsidRDefault="004A7D33" w:rsidP="00C63F08">
      <w:pPr>
        <w:jc w:val="center"/>
      </w:pPr>
      <w:r>
        <w:rPr>
          <w:rFonts w:ascii="Arial" w:eastAsia="Kozuka Gothic Pro B" w:hAnsi="Arial" w:cs="Arial"/>
          <w:color w:val="FF0000"/>
        </w:rPr>
        <w:pict>
          <v:shapetype id="_x0000_t164" coordsize="21600,21600" o:spt="164" adj="6894" path="m0@0c7200@2,14400@2,21600@0m,21600r21600,e">
            <v:formulas>
              <v:f eqn="val #0"/>
              <v:f eqn="prod #0 1 3"/>
              <v:f eqn="sum 0 0 @1"/>
              <v:f eqn="prod #0 1 2"/>
              <v:f eqn="sum @3 10800 0"/>
              <v:f eqn="sum 21600 0 @1"/>
            </v:formulas>
            <v:path textpathok="t" o:connecttype="custom" o:connectlocs="10800,0;0,@4;10800,21600;21600,@4" o:connectangles="270,180,90,0"/>
            <v:textpath on="t" fitshape="t" xscale="t"/>
            <v:handles>
              <v:h position="topLeft,#0" yrange="0,10452"/>
            </v:handles>
            <o:lock v:ext="edit" text="t" shapetype="t"/>
          </v:shapetype>
          <v:shape id="_x0000_i1025" type="#_x0000_t164" style="width:423.75pt;height:162.75pt" adj=",10800" fillcolor="#365f91" strokecolor="gray">
            <v:shadow on="t" opacity="52429f"/>
            <v:textpath style="font-family:&quot;Arial Black&quot;;font-style:italic;v-text-kern:t" trim="t" fitpath="t" xscale="f" string="Наш славный городок &#10;Горнозаводск"/>
          </v:shape>
        </w:pict>
      </w:r>
    </w:p>
    <w:p w:rsidR="00C63F08" w:rsidRDefault="00C63F08" w:rsidP="00C63F08">
      <w:pPr>
        <w:jc w:val="center"/>
        <w:rPr>
          <w:rFonts w:ascii="Arial" w:eastAsia="Kozuka Gothic Pro B" w:hAnsi="Arial" w:cs="Arial"/>
          <w:sz w:val="44"/>
        </w:rPr>
      </w:pPr>
    </w:p>
    <w:p w:rsidR="00C63F08" w:rsidRPr="00C63F08" w:rsidRDefault="00C63F08" w:rsidP="00C63F08">
      <w:pPr>
        <w:jc w:val="center"/>
        <w:rPr>
          <w:rFonts w:ascii="Arial" w:eastAsia="Kozuka Gothic Pro B" w:hAnsi="Arial" w:cs="Arial"/>
          <w:sz w:val="44"/>
        </w:rPr>
      </w:pPr>
      <w:r w:rsidRPr="00C63F08">
        <w:rPr>
          <w:rFonts w:ascii="Arial" w:eastAsia="Kozuka Gothic Pro B" w:hAnsi="Arial" w:cs="Arial"/>
          <w:sz w:val="44"/>
        </w:rPr>
        <w:t>Информационный список литературы по истории Горнозаводского района</w:t>
      </w:r>
    </w:p>
    <w:p w:rsidR="00C63F08" w:rsidRDefault="00C63F08" w:rsidP="00C63F08">
      <w:pPr>
        <w:jc w:val="center"/>
      </w:pPr>
      <w:r>
        <w:rPr>
          <w:noProof/>
        </w:rPr>
        <w:drawing>
          <wp:inline distT="0" distB="0" distL="0" distR="0" wp14:anchorId="3D68A3EE" wp14:editId="7265B54E">
            <wp:extent cx="5162550" cy="3858199"/>
            <wp:effectExtent l="190500" t="190500" r="190500" b="200025"/>
            <wp:docPr id="2050" name="Рисунок 2050" descr="http://cs441.userapi.com/u7610553/5505934/x_38c8df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cs441.userapi.com/u7610553/5505934/x_38c8dfdf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142" cy="38601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63F08" w:rsidRDefault="00C63F08" w:rsidP="00C63F08">
      <w:pPr>
        <w:jc w:val="center"/>
      </w:pPr>
    </w:p>
    <w:p w:rsidR="00C63F08" w:rsidRDefault="00C63F08" w:rsidP="00C63F08">
      <w:pPr>
        <w:jc w:val="center"/>
      </w:pPr>
    </w:p>
    <w:p w:rsidR="00C63F08" w:rsidRDefault="00C63F08" w:rsidP="00C63F08">
      <w:pPr>
        <w:jc w:val="center"/>
      </w:pPr>
    </w:p>
    <w:p w:rsidR="00C63F08" w:rsidRPr="00C91ACC" w:rsidRDefault="00C63F08" w:rsidP="00C63F08">
      <w:pPr>
        <w:jc w:val="center"/>
        <w:rPr>
          <w:sz w:val="28"/>
        </w:rPr>
      </w:pPr>
      <w:proofErr w:type="spellStart"/>
      <w:r w:rsidRPr="00C91ACC">
        <w:rPr>
          <w:sz w:val="28"/>
        </w:rPr>
        <w:t>г</w:t>
      </w:r>
      <w:proofErr w:type="gramStart"/>
      <w:r w:rsidRPr="00C91ACC">
        <w:rPr>
          <w:sz w:val="28"/>
        </w:rPr>
        <w:t>.Г</w:t>
      </w:r>
      <w:proofErr w:type="gramEnd"/>
      <w:r w:rsidRPr="00C91ACC">
        <w:rPr>
          <w:sz w:val="28"/>
        </w:rPr>
        <w:t>орнозаводск</w:t>
      </w:r>
      <w:proofErr w:type="spellEnd"/>
      <w:r w:rsidRPr="00C91ACC">
        <w:rPr>
          <w:sz w:val="28"/>
        </w:rPr>
        <w:t>, 2015</w:t>
      </w:r>
    </w:p>
    <w:p w:rsidR="00C63F08" w:rsidRDefault="00C63F08">
      <w:pPr>
        <w:spacing w:after="200" w:line="276" w:lineRule="auto"/>
      </w:pPr>
      <w:r>
        <w:br w:type="page"/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lastRenderedPageBreak/>
        <w:t>Алмазная промышленность Горнозаводского района. Шестые районные краеведческие Киреевские чтения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сборник / сост. Л.К. Колосова. – Горнозаводск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МУ «ЦБС», 2006. – 54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Cs/>
          <w:sz w:val="28"/>
          <w:szCs w:val="28"/>
        </w:rPr>
        <w:t>«</w:t>
      </w:r>
      <w:r w:rsidRPr="00C63F08">
        <w:rPr>
          <w:rFonts w:ascii="Times New Roman" w:hAnsi="Times New Roman"/>
          <w:b/>
          <w:bCs/>
          <w:sz w:val="28"/>
          <w:szCs w:val="28"/>
        </w:rPr>
        <w:t>Алмазная» страница в истории Пашии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сборник / сост. В.П.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Чувызгалова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Пашия: Пашийская библиотека, 2013. – 52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Алмазники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Урала</w:t>
      </w:r>
      <w:r w:rsidRPr="00C63F08">
        <w:rPr>
          <w:rFonts w:ascii="Times New Roman" w:hAnsi="Times New Roman"/>
          <w:bCs/>
          <w:sz w:val="28"/>
          <w:szCs w:val="28"/>
        </w:rPr>
        <w:t xml:space="preserve"> : сборник статей и воспоминаний о первых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алмазниках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 xml:space="preserve"> России / под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>р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ед. Н.В. Введенской ;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Перм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отд-ние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 xml:space="preserve"> РМО;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Перм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ун-т. – Пермь, 2007. – 120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 xml:space="preserve">Введенская Н.В. Алмазы </w:t>
      </w: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Вижая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 xml:space="preserve"> / Н.В. Введенская. – Лысьва, 2004. – 238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Вспоминая военные годы. Воспоминания жителей посёлка Пашия о Великой Отечественной войне</w:t>
      </w:r>
      <w:r w:rsidRPr="00C63F08">
        <w:rPr>
          <w:rFonts w:ascii="Times New Roman" w:hAnsi="Times New Roman"/>
          <w:bCs/>
          <w:sz w:val="28"/>
          <w:szCs w:val="28"/>
        </w:rPr>
        <w:t xml:space="preserve"> / сост. В.П.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Чувызгалова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Пашия, 2010. – 33с.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Всё для фронта, всё для Победы. Книга Памяти. Горнозаводский район</w:t>
      </w:r>
      <w:r w:rsidRPr="00C63F08">
        <w:rPr>
          <w:rFonts w:ascii="Times New Roman" w:hAnsi="Times New Roman"/>
          <w:bCs/>
          <w:sz w:val="28"/>
          <w:szCs w:val="28"/>
        </w:rPr>
        <w:t>. – Пермь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ООО «Издательский дом «Типография купца Тарасова», 2014. – 280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Вторые районные краеведческие Киреевские чтения, посвящённые 250-летию посёлка Кусье-Александровский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сборник / сост. Л.К. Колосова. – Горнозаводск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МУ «ЦБС», 2001. – 24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Гимадудинов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Т. И жизнь, и страсть, и любовь – футбол</w:t>
      </w:r>
      <w:r w:rsidRPr="00C63F08">
        <w:rPr>
          <w:rFonts w:ascii="Times New Roman" w:hAnsi="Times New Roman"/>
          <w:bCs/>
          <w:sz w:val="28"/>
          <w:szCs w:val="28"/>
        </w:rPr>
        <w:t xml:space="preserve"> / Т.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Гимадудинов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Тёплая Гора, 2008. – 32с.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Гимадудинов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Т. Пионерия</w:t>
      </w:r>
      <w:r w:rsidRPr="00C63F08">
        <w:rPr>
          <w:rFonts w:ascii="Times New Roman" w:hAnsi="Times New Roman"/>
          <w:bCs/>
          <w:sz w:val="28"/>
          <w:szCs w:val="28"/>
        </w:rPr>
        <w:t xml:space="preserve"> / Т.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Гимадудинов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Тёплая Гора, 2013. – 37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Гимадудинов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Т. Родословие</w:t>
      </w:r>
      <w:r w:rsidRPr="00C63F08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Теплогорские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династии</w:t>
      </w:r>
      <w:r w:rsidRPr="00C63F08">
        <w:rPr>
          <w:rFonts w:ascii="Times New Roman" w:hAnsi="Times New Roman"/>
          <w:bCs/>
          <w:sz w:val="28"/>
          <w:szCs w:val="28"/>
        </w:rPr>
        <w:t xml:space="preserve"> /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Т.Гимадудинов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Тёплая Гора, 2009. – 36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Гимадудинов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Т. </w:t>
      </w: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Теплогорская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завязь</w:t>
      </w:r>
      <w:r w:rsidRPr="00C63F08">
        <w:rPr>
          <w:rFonts w:ascii="Times New Roman" w:hAnsi="Times New Roman"/>
          <w:bCs/>
          <w:sz w:val="28"/>
          <w:szCs w:val="28"/>
        </w:rPr>
        <w:t xml:space="preserve"> / Т.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Гимадудинов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Тёплая Гора, 2005. – 36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Горнозаводскцемент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>: надежность уральской марки</w:t>
      </w:r>
      <w:r w:rsidRPr="00C63F08">
        <w:rPr>
          <w:rFonts w:ascii="Times New Roman" w:hAnsi="Times New Roman"/>
          <w:bCs/>
          <w:sz w:val="28"/>
          <w:szCs w:val="28"/>
        </w:rPr>
        <w:t xml:space="preserve"> / отв. ред.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Е.Штубова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, В. Фурман. – Екатеринбург, 2005. – 127с.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И появился на карте Горнозаводск. К 30-летию образования города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дайджест / сост. Т.Н.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Кашицына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 xml:space="preserve">, Т.В.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Гашева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Горнозаводск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МУ «ЦБС», 1995. – 35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История Горнозаводских заводов. Одиннадцатые районные краеведческие Киреевские чтения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сборник / сост. М.С. Шарапова. – Горнозаводск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МУК «ГЦМБ». 2011. – 60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История политических репрессий в Горнозаводском районе. Десятые районные краеведческие Киреевские чтения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сборник / сост. М.С. Шарапова. – Горнозаводск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МУК «ГЦМБ», 2010. – 64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История церквей Горнозаводского района. Пятые районные краеведческие Киреевские чтения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сборник / сост. Л.К. Колосова. – Горнозаводск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МУ «ЦБС», 2005. – 40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Киреев В.В. Заводы нашего края в Отечественной войне 1812 года</w:t>
      </w:r>
      <w:r w:rsidRPr="00C63F08">
        <w:rPr>
          <w:rFonts w:ascii="Times New Roman" w:hAnsi="Times New Roman"/>
          <w:bCs/>
          <w:sz w:val="28"/>
          <w:szCs w:val="28"/>
        </w:rPr>
        <w:t xml:space="preserve"> / В.В. Киреев. – Горнозаводск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МБУК «ГЦМБ», 2012. – 12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 xml:space="preserve">Киреев В.В. По </w:t>
      </w: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Вижаю</w:t>
      </w:r>
      <w:proofErr w:type="spellEnd"/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путеводитель / В.В. Киреев. – СПб, 1999. – 81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Киреев В.В. Словарь географических названий Горнозаводского района Пермской области. 1962-1992 гг.</w:t>
      </w:r>
      <w:r w:rsidRPr="00C63F08">
        <w:rPr>
          <w:rFonts w:ascii="Times New Roman" w:hAnsi="Times New Roman"/>
          <w:bCs/>
          <w:sz w:val="28"/>
          <w:szCs w:val="28"/>
        </w:rPr>
        <w:t xml:space="preserve"> / В.В. Киреев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;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сост. С.В. Котельников. – Пермь, 2004. – 95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Книга Памяти. Горнозаводский район</w:t>
      </w:r>
      <w:r w:rsidRPr="00C63F08">
        <w:rPr>
          <w:rFonts w:ascii="Times New Roman" w:hAnsi="Times New Roman"/>
          <w:bCs/>
          <w:sz w:val="28"/>
          <w:szCs w:val="28"/>
        </w:rPr>
        <w:t xml:space="preserve"> /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редкол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Л.Н. Софонов [и др.]. – Пермь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ИПК «Звезда», 2005. – 161с.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lastRenderedPageBreak/>
        <w:t>Команда молодости нашей</w:t>
      </w:r>
      <w:r w:rsidRPr="00C63F08">
        <w:rPr>
          <w:rFonts w:ascii="Times New Roman" w:hAnsi="Times New Roman"/>
          <w:bCs/>
          <w:sz w:val="28"/>
          <w:szCs w:val="28"/>
        </w:rPr>
        <w:t xml:space="preserve"> : очерки о ветеранах библиотечного дела /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отв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>.р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>ед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 xml:space="preserve">. Т.Н.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Кашицына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Горнозаводск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МУ «ЦБС», 2002. – 32с.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Кошков В.С. Моя малая Родина – Пашия и её трудовая слава</w:t>
      </w:r>
      <w:r w:rsidRPr="00C63F08">
        <w:rPr>
          <w:rFonts w:ascii="Times New Roman" w:hAnsi="Times New Roman"/>
          <w:bCs/>
          <w:sz w:val="28"/>
          <w:szCs w:val="28"/>
        </w:rPr>
        <w:t xml:space="preserve"> / В.С. Кошков. – 2012. - 238с.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Литературная карта региона. Горнозаводский район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дайджест / авт.-сост. Л.К. Колосова. – Горнозаводск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МУ «ЦБС», 2008. – 20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Литературные имена Горнозаводского района. Четвертые районные краеведческие Киреевские чтения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сборник / сост. Л.К. Колосова. – Горнозаводск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МУ «ЦБС», 2003. – 40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Молодость древнего края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очерки истории Горнозаводского района /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редкол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Л.Н. Софонов [и др.]. – Екатеринбург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Старт, 2001. – 79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На свете много улиц славных… Восьмые районные краеведческие Киреевские чтения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сборник / сост. Л.К. Колосова, М.С. Шарапова. - Горнозаводск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МУ «ЦБС», 2007. – 44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Попонин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Н.П. Горнозаводский район: Очерки. События. Люди</w:t>
      </w:r>
      <w:r w:rsidRPr="00C63F08">
        <w:rPr>
          <w:rFonts w:ascii="Times New Roman" w:hAnsi="Times New Roman"/>
          <w:bCs/>
          <w:sz w:val="28"/>
          <w:szCs w:val="28"/>
        </w:rPr>
        <w:t xml:space="preserve"> / Н.П.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Попонин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Тёплая Гора, 2015. – 332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Попонин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Н.П. Теплогорский завод</w:t>
      </w:r>
      <w:proofErr w:type="gramStart"/>
      <w:r w:rsidRPr="00C63F08">
        <w:rPr>
          <w:rFonts w:ascii="Times New Roman" w:hAnsi="Times New Roman"/>
          <w:b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/>
          <w:bCs/>
          <w:sz w:val="28"/>
          <w:szCs w:val="28"/>
        </w:rPr>
        <w:t xml:space="preserve"> три его жизни. Исторические очерки</w:t>
      </w:r>
      <w:r w:rsidRPr="00C63F08">
        <w:rPr>
          <w:rFonts w:ascii="Times New Roman" w:hAnsi="Times New Roman"/>
          <w:bCs/>
          <w:sz w:val="28"/>
          <w:szCs w:val="28"/>
        </w:rPr>
        <w:t xml:space="preserve"> / Н.П.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Попонин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Тёплая Гора, 2013. – 64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Попонин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Н.П. Теплогорский завод. История. Ч.1 Теплогорский завод</w:t>
      </w:r>
      <w:proofErr w:type="gramStart"/>
      <w:r w:rsidRPr="00C63F08">
        <w:rPr>
          <w:rFonts w:ascii="Times New Roman" w:hAnsi="Times New Roman"/>
          <w:b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/>
          <w:bCs/>
          <w:sz w:val="28"/>
          <w:szCs w:val="28"/>
        </w:rPr>
        <w:t xml:space="preserve"> три его жизни</w:t>
      </w:r>
      <w:r w:rsidRPr="00C63F08">
        <w:rPr>
          <w:rFonts w:ascii="Times New Roman" w:hAnsi="Times New Roman"/>
          <w:bCs/>
          <w:sz w:val="28"/>
          <w:szCs w:val="28"/>
        </w:rPr>
        <w:t xml:space="preserve"> / Н.П.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Попонин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Тёплая Гора, 2013. – 99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Попонин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Н.П. Теплогорский завод. История. Ч.2 О </w:t>
      </w: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Теплогорском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заводе. Воспоминания. Публикации</w:t>
      </w:r>
      <w:r w:rsidRPr="00C63F08">
        <w:rPr>
          <w:rFonts w:ascii="Times New Roman" w:hAnsi="Times New Roman"/>
          <w:bCs/>
          <w:sz w:val="28"/>
          <w:szCs w:val="28"/>
        </w:rPr>
        <w:t xml:space="preserve"> / Н.П.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Попонин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Тёплая Гора, 2013. – 90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Попонин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Н.П. Теплогорский завод. История. Ч.3 Гордость </w:t>
      </w: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Теплогорского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завода. Публикации</w:t>
      </w:r>
      <w:r w:rsidRPr="00C63F08">
        <w:rPr>
          <w:rFonts w:ascii="Times New Roman" w:hAnsi="Times New Roman"/>
          <w:bCs/>
          <w:sz w:val="28"/>
          <w:szCs w:val="28"/>
        </w:rPr>
        <w:t xml:space="preserve"> / Н.П.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Попонин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Тёплая Гора, 2013. – 88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Попонин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Н.П. Теплогорский завод. История. Ч.4 Теплогорский завод</w:t>
      </w:r>
      <w:proofErr w:type="gramStart"/>
      <w:r w:rsidRPr="00C63F08">
        <w:rPr>
          <w:rFonts w:ascii="Times New Roman" w:hAnsi="Times New Roman"/>
          <w:b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/>
          <w:bCs/>
          <w:sz w:val="28"/>
          <w:szCs w:val="28"/>
        </w:rPr>
        <w:t xml:space="preserve"> фотографии</w:t>
      </w:r>
      <w:r w:rsidRPr="00C63F08">
        <w:rPr>
          <w:rFonts w:ascii="Times New Roman" w:hAnsi="Times New Roman"/>
          <w:bCs/>
          <w:sz w:val="28"/>
          <w:szCs w:val="28"/>
        </w:rPr>
        <w:t xml:space="preserve"> / Н.П.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Попонин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Тёплая Гора, 2014. – 26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Рабочий посёлок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очерки истории посёлка Тёплая Гора / сост.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Т.Гимадудинов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Горнозаводск: МУ «ЦБС», 2003. – 106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 xml:space="preserve">Рудники </w:t>
      </w: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Теплогорского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завода</w:t>
      </w:r>
      <w:r w:rsidRPr="00C63F08">
        <w:rPr>
          <w:rFonts w:ascii="Times New Roman" w:hAnsi="Times New Roman"/>
          <w:bCs/>
          <w:sz w:val="28"/>
          <w:szCs w:val="28"/>
        </w:rPr>
        <w:t xml:space="preserve"> / сост. Н.П.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Попонин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Тёплая Гора, 2013. – 20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proofErr w:type="spellStart"/>
      <w:r w:rsidRPr="00C63F08">
        <w:rPr>
          <w:rFonts w:ascii="Times New Roman" w:hAnsi="Times New Roman"/>
          <w:b/>
          <w:bCs/>
          <w:sz w:val="28"/>
          <w:szCs w:val="28"/>
        </w:rPr>
        <w:t>Солохин</w:t>
      </w:r>
      <w:proofErr w:type="spellEnd"/>
      <w:r w:rsidRPr="00C63F08">
        <w:rPr>
          <w:rFonts w:ascii="Times New Roman" w:hAnsi="Times New Roman"/>
          <w:b/>
          <w:bCs/>
          <w:sz w:val="28"/>
          <w:szCs w:val="28"/>
        </w:rPr>
        <w:t xml:space="preserve"> В.Я. История посёлка Кусье-Александровский</w:t>
      </w:r>
      <w:proofErr w:type="gramStart"/>
      <w:r w:rsidRPr="00C63F08">
        <w:rPr>
          <w:rFonts w:ascii="Times New Roman" w:hAnsi="Times New Roman"/>
          <w:b/>
          <w:bCs/>
          <w:sz w:val="28"/>
          <w:szCs w:val="28"/>
        </w:rPr>
        <w:t xml:space="preserve"> ;</w:t>
      </w:r>
      <w:proofErr w:type="gramEnd"/>
      <w:r w:rsidRPr="00C63F08">
        <w:rPr>
          <w:rFonts w:ascii="Times New Roman" w:hAnsi="Times New Roman"/>
          <w:b/>
          <w:bCs/>
          <w:sz w:val="28"/>
          <w:szCs w:val="28"/>
        </w:rPr>
        <w:t xml:space="preserve"> Автобиография</w:t>
      </w:r>
      <w:r w:rsidRPr="00C63F08">
        <w:rPr>
          <w:rFonts w:ascii="Times New Roman" w:hAnsi="Times New Roman"/>
          <w:bCs/>
          <w:sz w:val="28"/>
          <w:szCs w:val="28"/>
        </w:rPr>
        <w:t xml:space="preserve"> / В.Я.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Солохин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Горнозаводск, 2001. – 36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Спортивная слава Горнозаводского района. Девятые районные краеведческие Киреевские чтения</w:t>
      </w:r>
      <w:r w:rsidRPr="00C63F08">
        <w:rPr>
          <w:rFonts w:ascii="Times New Roman" w:hAnsi="Times New Roman"/>
          <w:bCs/>
          <w:sz w:val="28"/>
          <w:szCs w:val="28"/>
        </w:rPr>
        <w:t xml:space="preserve"> / сост. Л.Н. Лашкевич. – Горнозаводск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МБУК «ГЦМБ», 201</w:t>
      </w:r>
      <w:r>
        <w:rPr>
          <w:rFonts w:ascii="Times New Roman" w:hAnsi="Times New Roman"/>
          <w:bCs/>
          <w:sz w:val="28"/>
          <w:szCs w:val="28"/>
        </w:rPr>
        <w:t>5. – 26</w:t>
      </w:r>
      <w:r w:rsidRPr="00C63F08">
        <w:rPr>
          <w:rFonts w:ascii="Times New Roman" w:hAnsi="Times New Roman"/>
          <w:bCs/>
          <w:sz w:val="28"/>
          <w:szCs w:val="28"/>
        </w:rPr>
        <w:t>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bCs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 xml:space="preserve">Третьи районные краеведческие Киреевские чтения, посвящённые 90-летию Виктора Васильевича Киреева </w:t>
      </w:r>
      <w:r w:rsidRPr="00C63F08">
        <w:rPr>
          <w:rFonts w:ascii="Times New Roman" w:hAnsi="Times New Roman"/>
          <w:bCs/>
          <w:sz w:val="28"/>
          <w:szCs w:val="28"/>
        </w:rPr>
        <w:t>/ сост. Л.К. Колосова. – Горнозаводск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МУ «ЦБС», 2002. – 28 с.</w:t>
      </w:r>
    </w:p>
    <w:p w:rsidR="00C63F08" w:rsidRPr="00C63F08" w:rsidRDefault="00C63F08" w:rsidP="00D505DE">
      <w:pPr>
        <w:pStyle w:val="txt1"/>
        <w:spacing w:before="80" w:after="80" w:line="240" w:lineRule="auto"/>
        <w:ind w:left="0" w:right="0" w:firstLine="301"/>
        <w:rPr>
          <w:rFonts w:ascii="Times New Roman" w:hAnsi="Times New Roman"/>
          <w:sz w:val="28"/>
          <w:szCs w:val="28"/>
        </w:rPr>
      </w:pPr>
      <w:r w:rsidRPr="00C63F08">
        <w:rPr>
          <w:rFonts w:ascii="Times New Roman" w:hAnsi="Times New Roman"/>
          <w:b/>
          <w:bCs/>
          <w:sz w:val="28"/>
          <w:szCs w:val="28"/>
        </w:rPr>
        <w:t>Юбилей 45 лет. Из истории посёлка Средняя Усьва</w:t>
      </w:r>
      <w:r w:rsidRPr="00C63F08">
        <w:rPr>
          <w:rFonts w:ascii="Times New Roman" w:hAnsi="Times New Roman"/>
          <w:bCs/>
          <w:sz w:val="28"/>
          <w:szCs w:val="28"/>
        </w:rPr>
        <w:t xml:space="preserve"> / сост. О.А.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Салимгареева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>. – Медведка</w:t>
      </w:r>
      <w:proofErr w:type="gramStart"/>
      <w:r w:rsidRPr="00C63F0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63F08">
        <w:rPr>
          <w:rFonts w:ascii="Times New Roman" w:hAnsi="Times New Roman"/>
          <w:bCs/>
          <w:sz w:val="28"/>
          <w:szCs w:val="28"/>
        </w:rPr>
        <w:t xml:space="preserve"> МБУК «Библиотека </w:t>
      </w:r>
      <w:proofErr w:type="spellStart"/>
      <w:r w:rsidRPr="00C63F08">
        <w:rPr>
          <w:rFonts w:ascii="Times New Roman" w:hAnsi="Times New Roman"/>
          <w:bCs/>
          <w:sz w:val="28"/>
          <w:szCs w:val="28"/>
        </w:rPr>
        <w:t>Медведкинского</w:t>
      </w:r>
      <w:proofErr w:type="spellEnd"/>
      <w:r w:rsidRPr="00C63F08">
        <w:rPr>
          <w:rFonts w:ascii="Times New Roman" w:hAnsi="Times New Roman"/>
          <w:bCs/>
          <w:sz w:val="28"/>
          <w:szCs w:val="28"/>
        </w:rPr>
        <w:t xml:space="preserve"> сельского поселения», 2012. – 16 с.    </w:t>
      </w:r>
    </w:p>
    <w:p w:rsidR="00D505DE" w:rsidRDefault="00D505DE">
      <w:pPr>
        <w:spacing w:after="200" w:line="276" w:lineRule="auto"/>
        <w:rPr>
          <w:rFonts w:ascii="Calibri" w:hAnsi="Calibri" w:cs="Arial"/>
          <w:b/>
          <w:bCs/>
          <w:color w:val="000000"/>
          <w:sz w:val="20"/>
          <w:szCs w:val="22"/>
        </w:rPr>
      </w:pPr>
      <w:r>
        <w:rPr>
          <w:rFonts w:ascii="Calibri" w:hAnsi="Calibri" w:cs="Arial"/>
          <w:b/>
          <w:bCs/>
          <w:sz w:val="20"/>
          <w:szCs w:val="22"/>
        </w:rPr>
        <w:br w:type="page"/>
      </w:r>
    </w:p>
    <w:p w:rsidR="00C63F08" w:rsidRDefault="00D505DE" w:rsidP="00C63F08">
      <w:pPr>
        <w:pStyle w:val="txt1"/>
        <w:spacing w:before="14" w:after="14" w:line="240" w:lineRule="auto"/>
        <w:ind w:left="74" w:right="74" w:firstLine="301"/>
        <w:rPr>
          <w:rFonts w:ascii="Calibri" w:hAnsi="Calibri" w:cs="Arial"/>
          <w:b/>
          <w:bCs/>
          <w:sz w:val="20"/>
          <w:szCs w:val="22"/>
        </w:rPr>
      </w:pPr>
      <w:r>
        <w:rPr>
          <w:noProof/>
        </w:rPr>
        <w:lastRenderedPageBreak/>
        <w:drawing>
          <wp:inline distT="0" distB="0" distL="0" distR="0">
            <wp:extent cx="4514850" cy="2257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46" b="30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5DE" w:rsidRDefault="00D505DE" w:rsidP="00C63F08">
      <w:pPr>
        <w:pStyle w:val="txt1"/>
        <w:spacing w:before="14" w:after="14" w:line="240" w:lineRule="auto"/>
        <w:ind w:left="74" w:right="74" w:firstLine="301"/>
        <w:rPr>
          <w:rFonts w:ascii="Calibri" w:hAnsi="Calibri" w:cs="Arial"/>
          <w:b/>
          <w:bCs/>
          <w:sz w:val="20"/>
          <w:szCs w:val="22"/>
        </w:rPr>
      </w:pPr>
    </w:p>
    <w:p w:rsidR="00D505DE" w:rsidRDefault="00D505DE" w:rsidP="00D505DE">
      <w:pPr>
        <w:pStyle w:val="txt1"/>
        <w:spacing w:before="14" w:after="14" w:line="240" w:lineRule="auto"/>
        <w:ind w:left="74" w:right="74" w:firstLine="301"/>
        <w:jc w:val="right"/>
        <w:rPr>
          <w:rFonts w:ascii="Calibri" w:hAnsi="Calibri" w:cs="Arial"/>
          <w:b/>
          <w:bCs/>
          <w:sz w:val="20"/>
          <w:szCs w:val="22"/>
        </w:rPr>
      </w:pPr>
      <w:r>
        <w:rPr>
          <w:noProof/>
        </w:rPr>
        <w:drawing>
          <wp:inline distT="0" distB="0" distL="0" distR="0">
            <wp:extent cx="3946747" cy="2970446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472" cy="2978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5DE" w:rsidRDefault="00D505DE" w:rsidP="00D505DE">
      <w:pPr>
        <w:pStyle w:val="txt1"/>
        <w:spacing w:before="14" w:after="14" w:line="240" w:lineRule="auto"/>
        <w:ind w:left="74" w:right="74" w:firstLine="301"/>
        <w:jc w:val="right"/>
        <w:rPr>
          <w:rFonts w:ascii="Calibri" w:hAnsi="Calibri" w:cs="Arial"/>
          <w:b/>
          <w:bCs/>
          <w:sz w:val="20"/>
          <w:szCs w:val="22"/>
        </w:rPr>
      </w:pPr>
    </w:p>
    <w:p w:rsidR="00D505DE" w:rsidRDefault="00D505DE" w:rsidP="00D505DE">
      <w:pPr>
        <w:pStyle w:val="txt1"/>
        <w:spacing w:before="14" w:after="14" w:line="240" w:lineRule="auto"/>
        <w:ind w:left="74" w:right="74" w:firstLine="301"/>
        <w:jc w:val="left"/>
        <w:rPr>
          <w:rFonts w:ascii="Calibri" w:hAnsi="Calibri" w:cs="Arial"/>
          <w:b/>
          <w:bCs/>
          <w:sz w:val="20"/>
          <w:szCs w:val="22"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4159646" cy="3133725"/>
            <wp:effectExtent l="0" t="0" r="0" b="0"/>
            <wp:docPr id="4" name="Рисунок 4" descr="P714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71400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586" cy="313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5DE" w:rsidRDefault="00D505DE" w:rsidP="00D505DE">
      <w:pPr>
        <w:pStyle w:val="txt1"/>
        <w:spacing w:before="14" w:after="14" w:line="240" w:lineRule="auto"/>
        <w:ind w:left="74" w:right="74" w:firstLine="301"/>
        <w:jc w:val="left"/>
        <w:rPr>
          <w:rFonts w:ascii="Calibri" w:hAnsi="Calibri" w:cs="Arial"/>
          <w:b/>
          <w:bCs/>
          <w:sz w:val="20"/>
          <w:szCs w:val="22"/>
        </w:rPr>
      </w:pPr>
    </w:p>
    <w:p w:rsidR="00D505DE" w:rsidRDefault="00D505DE" w:rsidP="00D505DE">
      <w:pPr>
        <w:pStyle w:val="txt1"/>
        <w:spacing w:before="14" w:after="14" w:line="240" w:lineRule="auto"/>
        <w:ind w:left="74" w:right="74" w:firstLine="301"/>
        <w:jc w:val="left"/>
        <w:rPr>
          <w:rFonts w:ascii="Calibri" w:hAnsi="Calibri" w:cs="Arial"/>
          <w:b/>
          <w:bCs/>
          <w:sz w:val="20"/>
          <w:szCs w:val="22"/>
        </w:rPr>
      </w:pPr>
    </w:p>
    <w:p w:rsidR="00D505DE" w:rsidRDefault="00D505DE" w:rsidP="00D505DE">
      <w:pPr>
        <w:jc w:val="center"/>
      </w:pPr>
    </w:p>
    <w:p w:rsidR="00D505DE" w:rsidRPr="00D505DE" w:rsidRDefault="00D505DE" w:rsidP="00D505DE">
      <w:pPr>
        <w:jc w:val="center"/>
      </w:pPr>
      <w:r w:rsidRPr="00D505DE">
        <w:t xml:space="preserve">Сост. и комп. набор: зав. </w:t>
      </w:r>
      <w:r w:rsidR="00AE624B">
        <w:t>ЭКЦ МБУК «ГЦМБ»</w:t>
      </w:r>
      <w:r w:rsidRPr="00D505DE">
        <w:t xml:space="preserve"> Лашкевич  Л.Н.</w:t>
      </w:r>
      <w:bookmarkStart w:id="0" w:name="_GoBack"/>
      <w:bookmarkEnd w:id="0"/>
    </w:p>
    <w:p w:rsidR="00D505DE" w:rsidRPr="00C63F08" w:rsidRDefault="00D505DE" w:rsidP="00D505DE">
      <w:pPr>
        <w:pStyle w:val="txt1"/>
        <w:spacing w:before="14" w:after="14" w:line="240" w:lineRule="auto"/>
        <w:ind w:left="74" w:right="74" w:firstLine="301"/>
        <w:jc w:val="left"/>
        <w:rPr>
          <w:rFonts w:ascii="Calibri" w:hAnsi="Calibri" w:cs="Arial"/>
          <w:b/>
          <w:bCs/>
          <w:sz w:val="20"/>
          <w:szCs w:val="22"/>
        </w:rPr>
      </w:pPr>
    </w:p>
    <w:sectPr w:rsidR="00D505DE" w:rsidRPr="00C63F08" w:rsidSect="00C63F0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D33" w:rsidRDefault="004A7D33" w:rsidP="00C63F08">
      <w:r>
        <w:separator/>
      </w:r>
    </w:p>
  </w:endnote>
  <w:endnote w:type="continuationSeparator" w:id="0">
    <w:p w:rsidR="004A7D33" w:rsidRDefault="004A7D33" w:rsidP="00C63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ozuka Gothic Pro B">
    <w:altName w:val="MS Gothic"/>
    <w:panose1 w:val="00000000000000000000"/>
    <w:charset w:val="80"/>
    <w:family w:val="swiss"/>
    <w:notTrueType/>
    <w:pitch w:val="variable"/>
    <w:sig w:usb0="00000000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D33" w:rsidRDefault="004A7D33" w:rsidP="00C63F08">
      <w:r>
        <w:separator/>
      </w:r>
    </w:p>
  </w:footnote>
  <w:footnote w:type="continuationSeparator" w:id="0">
    <w:p w:rsidR="004A7D33" w:rsidRDefault="004A7D33" w:rsidP="00C63F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AD5"/>
    <w:rsid w:val="002C3109"/>
    <w:rsid w:val="002E7FB8"/>
    <w:rsid w:val="004A7D33"/>
    <w:rsid w:val="00567AD5"/>
    <w:rsid w:val="00AE624B"/>
    <w:rsid w:val="00C63F08"/>
    <w:rsid w:val="00C91ACC"/>
    <w:rsid w:val="00D505DE"/>
    <w:rsid w:val="00EA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F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F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F0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C63F0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63F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63F0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63F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xt1">
    <w:name w:val="txt1"/>
    <w:basedOn w:val="a"/>
    <w:rsid w:val="00C63F08"/>
    <w:pPr>
      <w:spacing w:before="15" w:after="15" w:line="360" w:lineRule="auto"/>
      <w:ind w:left="75" w:right="75" w:firstLine="300"/>
      <w:jc w:val="both"/>
    </w:pPr>
    <w:rPr>
      <w:rFonts w:ascii="Verdana" w:hAnsi="Verdana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F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F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F0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C63F0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63F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63F0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63F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xt1">
    <w:name w:val="txt1"/>
    <w:basedOn w:val="a"/>
    <w:rsid w:val="00C63F08"/>
    <w:pPr>
      <w:spacing w:before="15" w:after="15" w:line="360" w:lineRule="auto"/>
      <w:ind w:left="75" w:right="75" w:firstLine="300"/>
      <w:jc w:val="both"/>
    </w:pPr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5</cp:revision>
  <dcterms:created xsi:type="dcterms:W3CDTF">2015-11-26T07:34:00Z</dcterms:created>
  <dcterms:modified xsi:type="dcterms:W3CDTF">2015-11-27T10:25:00Z</dcterms:modified>
</cp:coreProperties>
</file>