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91F" w:rsidRDefault="00BE191F" w:rsidP="00BE191F">
      <w:pPr>
        <w:rPr>
          <w:rFonts w:eastAsia="Times New Roman" w:cs="Times New Roman"/>
          <w:sz w:val="24"/>
          <w:szCs w:val="24"/>
          <w:lang w:eastAsia="ru-RU"/>
        </w:rPr>
      </w:pPr>
      <w:r w:rsidRPr="00BE191F">
        <w:rPr>
          <w:rFonts w:eastAsia="Times New Roman" w:cs="Times New Roman"/>
          <w:sz w:val="24"/>
          <w:szCs w:val="24"/>
          <w:lang w:eastAsia="ru-RU"/>
        </w:rPr>
        <w:t xml:space="preserve">Ежегодно 15 февраля в России отмечается </w:t>
      </w:r>
      <w:bookmarkStart w:id="0" w:name="_GoBack"/>
      <w:r w:rsidRPr="00BE191F">
        <w:rPr>
          <w:rFonts w:eastAsia="Times New Roman" w:cs="Times New Roman"/>
          <w:sz w:val="24"/>
          <w:szCs w:val="24"/>
          <w:lang w:eastAsia="ru-RU"/>
        </w:rPr>
        <w:t>День памяти воинов-интернационалистов</w:t>
      </w:r>
      <w:bookmarkEnd w:id="0"/>
      <w:r w:rsidRPr="00BE191F">
        <w:rPr>
          <w:rFonts w:eastAsia="Times New Roman" w:cs="Times New Roman"/>
          <w:sz w:val="24"/>
          <w:szCs w:val="24"/>
          <w:lang w:eastAsia="ru-RU"/>
        </w:rPr>
        <w:t>. Эта дата символизирует не только скорбь по погибшим, но и напоминает о героизме тех, кто в разные годы защищал интересы Отечества за его пределами.</w:t>
      </w:r>
      <w:r w:rsidRPr="00BE191F">
        <w:rPr>
          <w:rFonts w:eastAsia="Times New Roman" w:cs="Times New Roman"/>
          <w:sz w:val="24"/>
          <w:szCs w:val="24"/>
          <w:lang w:eastAsia="ru-RU"/>
        </w:rPr>
        <w:br/>
        <w:t>Горнозаводская центральная библиотека организовала акцию, приуроченную к этой памятной дате, с раздачей информационных буклетов.</w:t>
      </w:r>
    </w:p>
    <w:p w:rsidR="00BE191F" w:rsidRDefault="00BE191F" w:rsidP="00BE191F">
      <w:pPr>
        <w:rPr>
          <w:rFonts w:eastAsia="Times New Roman" w:cs="Times New Roman"/>
          <w:sz w:val="24"/>
          <w:szCs w:val="24"/>
          <w:lang w:eastAsia="ru-RU"/>
        </w:rPr>
      </w:pPr>
    </w:p>
    <w:p w:rsidR="00BE191F" w:rsidRDefault="00BE191F" w:rsidP="00BE191F">
      <w:pPr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9525</wp:posOffset>
            </wp:positionV>
            <wp:extent cx="2399811" cy="3200400"/>
            <wp:effectExtent l="0" t="0" r="635" b="0"/>
            <wp:wrapNone/>
            <wp:docPr id="4" name="Рисунок 4" descr="https://sun9-41.userapi.com/impg/A6hYruch4RUiMIB7h6T1i6V3chuZPaqMU_FydA/5Lrq7068ytk.jpg?size=1620x2160&amp;quality=95&amp;sign=9ebbcb620293765a8b912ac9eaa69b1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1.userapi.com/impg/A6hYruch4RUiMIB7h6T1i6V3chuZPaqMU_FydA/5Lrq7068ytk.jpg?size=1620x2160&amp;quality=95&amp;sign=9ebbcb620293765a8b912ac9eaa69b1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811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191F">
        <w:rPr>
          <w:rFonts w:eastAsia="Times New Roman" w:cs="Times New Roman"/>
          <w:sz w:val="24"/>
          <w:szCs w:val="24"/>
          <w:lang w:eastAsia="ru-RU"/>
        </w:rPr>
        <w:drawing>
          <wp:inline distT="0" distB="0" distL="0" distR="0">
            <wp:extent cx="2400300" cy="3200400"/>
            <wp:effectExtent l="0" t="0" r="0" b="0"/>
            <wp:docPr id="1" name="Рисунок 1" descr="https://sun9-19.userapi.com/impg/oCWAR6yCeKQvJbgjI6Rnd7WIgaAGsMlOFFEvgg/2bFnPdNxWsM.jpg?size=1620x2160&amp;quality=95&amp;sign=bfa09db713864737074403582faa0e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9.userapi.com/impg/oCWAR6yCeKQvJbgjI6Rnd7WIgaAGsMlOFFEvgg/2bFnPdNxWsM.jpg?size=1620x2160&amp;quality=95&amp;sign=bfa09db713864737074403582faa0e9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042" cy="3204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91F" w:rsidRDefault="00BE191F" w:rsidP="00BE191F">
      <w:pPr>
        <w:rPr>
          <w:rFonts w:eastAsia="Times New Roman" w:cs="Times New Roman"/>
          <w:sz w:val="24"/>
          <w:szCs w:val="24"/>
          <w:lang w:eastAsia="ru-RU"/>
        </w:rPr>
      </w:pPr>
    </w:p>
    <w:p w:rsidR="00BE191F" w:rsidRDefault="00BE191F" w:rsidP="00BE191F">
      <w:pPr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177165</wp:posOffset>
            </wp:positionV>
            <wp:extent cx="2457450" cy="3276600"/>
            <wp:effectExtent l="0" t="0" r="0" b="0"/>
            <wp:wrapNone/>
            <wp:docPr id="8" name="Рисунок 8" descr="https://sun9-71.userapi.com/impg/MLAeBekYnVIyj7HGxVtKXpsgoYsIRLMlTq9fcw/iZUAPUBtTKw.jpg?size=1620x2160&amp;quality=95&amp;sign=840218f0a9ab463ac014166012ce9ee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1.userapi.com/impg/MLAeBekYnVIyj7HGxVtKXpsgoYsIRLMlTq9fcw/iZUAPUBtTKw.jpg?size=1620x2160&amp;quality=95&amp;sign=840218f0a9ab463ac014166012ce9eea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91F" w:rsidRPr="00BE191F" w:rsidRDefault="00BE191F" w:rsidP="00BE191F">
      <w:pPr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F14725" wp14:editId="5AA877E7">
            <wp:extent cx="2475547" cy="3300730"/>
            <wp:effectExtent l="0" t="0" r="1270" b="0"/>
            <wp:docPr id="6" name="Рисунок 6" descr="https://sun9-65.userapi.com/impg/VObEYS3-TfdrHRsV4FxrQlMBpVOvqtxIIJbdNw/F68tR5Cp7gE.jpg?size=1620x2160&amp;quality=95&amp;sign=1ae6ad47f9ae149785b80a9fad516c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5.userapi.com/impg/VObEYS3-TfdrHRsV4FxrQlMBpVOvqtxIIJbdNw/F68tR5Cp7gE.jpg?size=1620x2160&amp;quality=95&amp;sign=1ae6ad47f9ae149785b80a9fad516cd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84864" cy="331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191F" w:rsidRPr="00BE1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91F"/>
    <w:rsid w:val="00165595"/>
    <w:rsid w:val="00BE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AA0BA"/>
  <w15:chartTrackingRefBased/>
  <w15:docId w15:val="{D13AEBBF-2888-4533-945D-6C0CA5C2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6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57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2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808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407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54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27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108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28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7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60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27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61480">
                                  <w:marLeft w:val="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764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3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4709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50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07468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41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2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0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73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059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247676">
                                  <w:marLeft w:val="300"/>
                                  <w:marRight w:val="30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27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07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6137522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691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25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6045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32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2025-02-17T05:03:00Z</dcterms:created>
  <dcterms:modified xsi:type="dcterms:W3CDTF">2025-02-17T05:10:00Z</dcterms:modified>
</cp:coreProperties>
</file>